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3043" w:rsidRDefault="00A03043" w:rsidP="00A03043">
      <w:pPr>
        <w:pStyle w:val="ListParagraph"/>
        <w:numPr>
          <w:ilvl w:val="0"/>
          <w:numId w:val="0"/>
        </w:numPr>
        <w:ind w:left="360" w:hanging="360"/>
      </w:pPr>
      <w:bookmarkStart w:id="0" w:name="_GoBack"/>
      <w:bookmarkEnd w:id="0"/>
    </w:p>
    <w:p w:rsidR="00A03043" w:rsidRPr="00677513" w:rsidRDefault="00A03043" w:rsidP="00A03043">
      <w:pPr>
        <w:pStyle w:val="Heading2"/>
        <w:rPr>
          <w:i/>
        </w:rPr>
      </w:pPr>
      <w:bookmarkStart w:id="1" w:name="_Toc507069542"/>
      <w:r w:rsidRPr="00421FD8">
        <w:rPr>
          <w:rFonts w:ascii="Calibri" w:hAnsi="Calibri"/>
        </w:rPr>
        <w:t>Annex H:  UNDP Risk Log</w:t>
      </w:r>
      <w:bookmarkEnd w:id="1"/>
    </w:p>
    <w:p w:rsidR="00A03043" w:rsidRDefault="00A03043" w:rsidP="00A03043">
      <w:pPr>
        <w:pStyle w:val="ListParagraph"/>
        <w:numPr>
          <w:ilvl w:val="0"/>
          <w:numId w:val="0"/>
        </w:numPr>
      </w:pPr>
    </w:p>
    <w:tbl>
      <w:tblPr>
        <w:tblW w:w="13545" w:type="dxa"/>
        <w:tblInd w:w="91" w:type="dxa"/>
        <w:tblLayout w:type="fixed"/>
        <w:tblCellMar>
          <w:left w:w="28" w:type="dxa"/>
          <w:right w:w="28" w:type="dxa"/>
        </w:tblCellMar>
        <w:tblLook w:val="0000" w:firstRow="0" w:lastRow="0" w:firstColumn="0" w:lastColumn="0" w:noHBand="0" w:noVBand="0"/>
      </w:tblPr>
      <w:tblGrid>
        <w:gridCol w:w="372"/>
        <w:gridCol w:w="1833"/>
        <w:gridCol w:w="993"/>
        <w:gridCol w:w="1275"/>
        <w:gridCol w:w="993"/>
        <w:gridCol w:w="3543"/>
        <w:gridCol w:w="1418"/>
        <w:gridCol w:w="1134"/>
        <w:gridCol w:w="1134"/>
        <w:gridCol w:w="850"/>
      </w:tblGrid>
      <w:tr w:rsidR="00570AA6" w:rsidRPr="00953F27" w:rsidTr="008C15F6">
        <w:trPr>
          <w:tblHeader/>
        </w:trPr>
        <w:tc>
          <w:tcPr>
            <w:tcW w:w="372"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pStyle w:val="ListParagraph"/>
              <w:numPr>
                <w:ilvl w:val="0"/>
                <w:numId w:val="0"/>
              </w:numPr>
              <w:spacing w:after="40"/>
            </w:pPr>
            <w:r w:rsidRPr="00953F27">
              <w:t>#</w:t>
            </w:r>
          </w:p>
        </w:tc>
        <w:tc>
          <w:tcPr>
            <w:tcW w:w="1833"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Description</w:t>
            </w:r>
          </w:p>
        </w:tc>
        <w:tc>
          <w:tcPr>
            <w:tcW w:w="993"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Date Identified</w:t>
            </w:r>
          </w:p>
        </w:tc>
        <w:tc>
          <w:tcPr>
            <w:tcW w:w="1275"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Type</w:t>
            </w:r>
          </w:p>
        </w:tc>
        <w:tc>
          <w:tcPr>
            <w:tcW w:w="993"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Impact &amp;</w:t>
            </w:r>
          </w:p>
          <w:p w:rsidR="00570AA6" w:rsidRPr="00953F27" w:rsidRDefault="00570AA6" w:rsidP="008C15F6">
            <w:pPr>
              <w:spacing w:after="40"/>
              <w:rPr>
                <w:rFonts w:cs="Arial"/>
                <w:b/>
                <w:szCs w:val="20"/>
              </w:rPr>
            </w:pPr>
            <w:r w:rsidRPr="00953F27">
              <w:rPr>
                <w:rFonts w:cs="Arial"/>
                <w:b/>
                <w:szCs w:val="20"/>
              </w:rPr>
              <w:t>Probability</w:t>
            </w:r>
          </w:p>
        </w:tc>
        <w:tc>
          <w:tcPr>
            <w:tcW w:w="3543"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Countermeasures / Mgmt. response</w:t>
            </w:r>
          </w:p>
        </w:tc>
        <w:tc>
          <w:tcPr>
            <w:tcW w:w="1418"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Owner</w:t>
            </w:r>
          </w:p>
        </w:tc>
        <w:tc>
          <w:tcPr>
            <w:tcW w:w="1134"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Submitted, updated by</w:t>
            </w:r>
          </w:p>
        </w:tc>
        <w:tc>
          <w:tcPr>
            <w:tcW w:w="1134"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Last Update</w:t>
            </w:r>
          </w:p>
        </w:tc>
        <w:tc>
          <w:tcPr>
            <w:tcW w:w="850" w:type="dxa"/>
            <w:tcBorders>
              <w:top w:val="single" w:sz="4" w:space="0" w:color="000000"/>
              <w:left w:val="single" w:sz="4" w:space="0" w:color="000000"/>
              <w:bottom w:val="single" w:sz="4" w:space="0" w:color="000000"/>
              <w:right w:val="single" w:sz="4" w:space="0" w:color="000000"/>
            </w:tcBorders>
            <w:shd w:val="clear" w:color="auto" w:fill="FFCC00"/>
          </w:tcPr>
          <w:p w:rsidR="00570AA6" w:rsidRPr="00953F27" w:rsidRDefault="00570AA6" w:rsidP="008C15F6">
            <w:pPr>
              <w:spacing w:after="40"/>
              <w:rPr>
                <w:rFonts w:cs="Arial"/>
                <w:szCs w:val="20"/>
              </w:rPr>
            </w:pPr>
            <w:r w:rsidRPr="00953F27">
              <w:rPr>
                <w:rFonts w:cs="Arial"/>
                <w:b/>
                <w:szCs w:val="20"/>
              </w:rPr>
              <w:t>Status</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0000"/>
          </w:tcPr>
          <w:p w:rsidR="00570AA6" w:rsidRPr="004A2426" w:rsidRDefault="00570AA6" w:rsidP="008C15F6">
            <w:pPr>
              <w:spacing w:after="40"/>
              <w:rPr>
                <w:rFonts w:cs="Arial"/>
                <w:sz w:val="18"/>
                <w:szCs w:val="18"/>
              </w:rPr>
            </w:pPr>
            <w:r w:rsidRPr="004A2426">
              <w:rPr>
                <w:rFonts w:cs="Arial"/>
                <w:sz w:val="18"/>
                <w:szCs w:val="18"/>
              </w:rPr>
              <w:t>1</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sidRPr="004A2426">
              <w:rPr>
                <w:rFonts w:cs="Arial"/>
                <w:sz w:val="18"/>
                <w:szCs w:val="18"/>
              </w:rPr>
              <w:t xml:space="preserve">The adoption of </w:t>
            </w:r>
            <w:r>
              <w:rPr>
                <w:rFonts w:cs="Arial"/>
                <w:sz w:val="18"/>
                <w:szCs w:val="18"/>
              </w:rPr>
              <w:t xml:space="preserve">more effective institutional arrangements in support of urban mobility planning </w:t>
            </w:r>
            <w:r w:rsidRPr="004A2426">
              <w:rPr>
                <w:rFonts w:cs="Arial"/>
                <w:sz w:val="18"/>
                <w:szCs w:val="18"/>
              </w:rPr>
              <w:t>would prove not feasible.</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P</w:t>
            </w:r>
            <w:r>
              <w:rPr>
                <w:rFonts w:cs="Arial"/>
                <w:sz w:val="18"/>
                <w:szCs w:val="18"/>
              </w:rPr>
              <w:t>PG</w:t>
            </w:r>
          </w:p>
        </w:tc>
        <w:tc>
          <w:tcPr>
            <w:tcW w:w="1275"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Governance and public policy</w:t>
            </w:r>
            <w:r>
              <w:rPr>
                <w:rFonts w:cs="Arial"/>
                <w:sz w:val="18"/>
                <w:szCs w:val="18"/>
              </w:rPr>
              <w:t>; development</w:t>
            </w:r>
          </w:p>
        </w:tc>
        <w:tc>
          <w:tcPr>
            <w:tcW w:w="99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P = 4</w:t>
            </w:r>
          </w:p>
          <w:p w:rsidR="00570AA6" w:rsidRPr="004A2426" w:rsidRDefault="00570AA6" w:rsidP="008C15F6">
            <w:pPr>
              <w:spacing w:after="40"/>
              <w:rPr>
                <w:rFonts w:cs="Arial"/>
                <w:sz w:val="18"/>
                <w:szCs w:val="18"/>
              </w:rPr>
            </w:pPr>
            <w:r w:rsidRPr="00987A61">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This is a major development risk as urban mobility needs an effective distribution of competences between the central Government and local authorities. Changes require reflection about possible enhanced arrangements and political support to push these forward.  Improvements must be approved by the Executive Organ (Presidency) and the Assembly, which is beyond direct control of the Project. This challenge is by advocacy, facilitation of dialogue and senior advice.</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Project Board/ 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0000"/>
          </w:tcPr>
          <w:p w:rsidR="00570AA6" w:rsidRPr="004A2426" w:rsidRDefault="00570AA6" w:rsidP="008C15F6">
            <w:pPr>
              <w:spacing w:after="40"/>
              <w:rPr>
                <w:rFonts w:cs="Arial"/>
                <w:sz w:val="18"/>
                <w:szCs w:val="18"/>
              </w:rPr>
            </w:pPr>
            <w:r w:rsidRPr="004A2426">
              <w:rPr>
                <w:rFonts w:cs="Arial"/>
                <w:sz w:val="18"/>
                <w:szCs w:val="18"/>
              </w:rPr>
              <w:t>2</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Pr>
                <w:rFonts w:cs="Arial"/>
                <w:sz w:val="18"/>
                <w:szCs w:val="18"/>
              </w:rPr>
              <w:t>A lack of political consensus would impede the adoption of a robust legal framework for SITRAMSS.</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Governance and public policy; development</w:t>
            </w:r>
          </w:p>
        </w:tc>
        <w:tc>
          <w:tcPr>
            <w:tcW w:w="99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P = 4</w:t>
            </w:r>
          </w:p>
          <w:p w:rsidR="00570AA6" w:rsidRPr="00987A61" w:rsidRDefault="00570AA6" w:rsidP="008C15F6">
            <w:pPr>
              <w:spacing w:after="40"/>
              <w:rPr>
                <w:rFonts w:cs="Arial"/>
                <w:sz w:val="18"/>
                <w:szCs w:val="18"/>
              </w:rPr>
            </w:pPr>
            <w:r w:rsidRPr="00987A61">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 xml:space="preserve">The scale and timeframe of SITRAMSS demands a stable development path and investment climate. Therefore, it would benefit from being moved from the political domain to the realm of public administration. </w:t>
            </w:r>
          </w:p>
          <w:p w:rsidR="00570AA6" w:rsidRPr="004A2426" w:rsidRDefault="00570AA6" w:rsidP="008C15F6">
            <w:pPr>
              <w:spacing w:after="40"/>
              <w:rPr>
                <w:rFonts w:cs="Arial"/>
                <w:sz w:val="18"/>
                <w:szCs w:val="18"/>
              </w:rPr>
            </w:pPr>
            <w:r>
              <w:rPr>
                <w:rFonts w:cs="Arial"/>
                <w:sz w:val="18"/>
                <w:szCs w:val="18"/>
              </w:rPr>
              <w:t>An appropriate measure is to anchor SITRAMSS in national law approved by the Assembly, which would provide clarity for private investors, allow for a realistic timeframe to be set, and avoid legal setbacks as currently the case. If a SITRAMSS Law is not approved, it is unlikely that investment capital for expansion can be attracted and conventional bus routes will be reluctant to integrate into the system.</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Project Board/ 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0000"/>
          </w:tcPr>
          <w:p w:rsidR="00570AA6" w:rsidRPr="004A2426" w:rsidRDefault="00570AA6" w:rsidP="008C15F6">
            <w:pPr>
              <w:spacing w:after="40"/>
              <w:rPr>
                <w:rFonts w:cs="Arial"/>
                <w:sz w:val="18"/>
                <w:szCs w:val="18"/>
              </w:rPr>
            </w:pPr>
            <w:r w:rsidRPr="004A2426">
              <w:rPr>
                <w:rFonts w:cs="Arial"/>
                <w:sz w:val="18"/>
                <w:szCs w:val="18"/>
              </w:rPr>
              <w:t>3</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Pr>
                <w:rFonts w:cs="Arial"/>
                <w:sz w:val="18"/>
                <w:szCs w:val="18"/>
              </w:rPr>
              <w:t>Senior management of MOPTVDU, OPAMSS and municipalities would prove reluctant to engage in working groups.</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Governance and public policy</w:t>
            </w:r>
            <w:r>
              <w:rPr>
                <w:rFonts w:cs="Arial"/>
                <w:sz w:val="18"/>
                <w:szCs w:val="18"/>
              </w:rPr>
              <w:t>; implementation</w:t>
            </w:r>
          </w:p>
        </w:tc>
        <w:tc>
          <w:tcPr>
            <w:tcW w:w="99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 xml:space="preserve">P = 2 </w:t>
            </w:r>
          </w:p>
          <w:p w:rsidR="00570AA6" w:rsidRPr="004A2426" w:rsidRDefault="00570AA6" w:rsidP="008C15F6">
            <w:pPr>
              <w:spacing w:after="40"/>
              <w:rPr>
                <w:rFonts w:cs="Arial"/>
                <w:sz w:val="18"/>
                <w:szCs w:val="18"/>
              </w:rPr>
            </w:pPr>
            <w:r w:rsidRPr="00987A61">
              <w:rPr>
                <w:rFonts w:cs="Arial"/>
                <w:sz w:val="18"/>
                <w:szCs w:val="18"/>
              </w:rPr>
              <w:t>I = 5</w:t>
            </w:r>
          </w:p>
        </w:tc>
        <w:tc>
          <w:tcPr>
            <w:tcW w:w="354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Calibri"/>
                <w:sz w:val="18"/>
                <w:szCs w:val="18"/>
              </w:rPr>
            </w:pPr>
            <w:r>
              <w:rPr>
                <w:rFonts w:cs="Calibri"/>
                <w:sz w:val="18"/>
                <w:szCs w:val="18"/>
              </w:rPr>
              <w:t>A key element of the Project’ strategy is to build and anchor capacities within key Government institutions. Since sustainable mobility is currently scattered across various entities and departments, management support is needed for allowing operational staff and experts to collaborate in working groups</w:t>
            </w:r>
            <w:r w:rsidRPr="00987A61">
              <w:rPr>
                <w:rFonts w:cs="Calibri"/>
                <w:sz w:val="18"/>
                <w:szCs w:val="18"/>
              </w:rPr>
              <w:t>.</w:t>
            </w:r>
          </w:p>
          <w:p w:rsidR="00570AA6" w:rsidRPr="004A2426" w:rsidRDefault="00570AA6" w:rsidP="008C15F6">
            <w:pPr>
              <w:spacing w:after="40"/>
              <w:rPr>
                <w:rFonts w:cs="Calibri"/>
                <w:sz w:val="18"/>
                <w:szCs w:val="18"/>
              </w:rPr>
            </w:pPr>
            <w:r w:rsidRPr="00987A61">
              <w:rPr>
                <w:rFonts w:cs="Calibri"/>
                <w:sz w:val="18"/>
                <w:szCs w:val="18"/>
              </w:rPr>
              <w:lastRenderedPageBreak/>
              <w:t>Some commitment has been given during the PPG but this needs to be put in practice, which implies a risk. Potential staffing gaps are mitigated by assigning long-term consultants to the key actors.</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lastRenderedPageBreak/>
              <w:t>Project Board/ 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FF00"/>
          </w:tcPr>
          <w:p w:rsidR="00570AA6" w:rsidRPr="004A2426" w:rsidRDefault="00570AA6" w:rsidP="008C15F6">
            <w:pPr>
              <w:spacing w:after="40"/>
              <w:rPr>
                <w:rFonts w:cs="Arial"/>
                <w:sz w:val="18"/>
                <w:szCs w:val="18"/>
              </w:rPr>
            </w:pPr>
            <w:r w:rsidRPr="004A2426">
              <w:rPr>
                <w:rFonts w:cs="Arial"/>
                <w:sz w:val="18"/>
                <w:szCs w:val="18"/>
              </w:rPr>
              <w:t>4</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Pr>
                <w:rFonts w:cs="Arial"/>
                <w:sz w:val="18"/>
                <w:szCs w:val="18"/>
              </w:rPr>
              <w:t>The enactment of a trust fund for EE in municipalities would be delayed or rejected by the Assembly.</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Governance and public policy; Finance</w:t>
            </w:r>
          </w:p>
        </w:tc>
        <w:tc>
          <w:tcPr>
            <w:tcW w:w="99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P = 2</w:t>
            </w:r>
          </w:p>
          <w:p w:rsidR="00570AA6" w:rsidRPr="00987A61" w:rsidRDefault="00570AA6" w:rsidP="008C15F6">
            <w:pPr>
              <w:spacing w:after="40"/>
              <w:rPr>
                <w:rFonts w:cs="Arial"/>
                <w:sz w:val="18"/>
                <w:szCs w:val="18"/>
              </w:rPr>
            </w:pPr>
            <w:r w:rsidRPr="00987A61">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Calibri"/>
                <w:sz w:val="18"/>
                <w:szCs w:val="18"/>
              </w:rPr>
            </w:pPr>
            <w:r w:rsidRPr="00987A61">
              <w:rPr>
                <w:rFonts w:cs="Calibri"/>
                <w:sz w:val="18"/>
                <w:szCs w:val="18"/>
              </w:rPr>
              <w:t>A Law Project for the FIDEnergetica has been prepared by CNE for presentation to the Assembly. Project Component 3 relies on the enactmen</w:t>
            </w:r>
            <w:r>
              <w:rPr>
                <w:rFonts w:cs="Calibri"/>
                <w:sz w:val="18"/>
                <w:szCs w:val="18"/>
              </w:rPr>
              <w:t>t of this fund. Since the legislative process in the Assembly is beyond direct control, the Project will mitigate this risk by supporting CNE with advocacy including presentations and expert panels to increase political support.</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Project Board/ CNE</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FF00"/>
          </w:tcPr>
          <w:p w:rsidR="00570AA6" w:rsidRPr="004A2426" w:rsidRDefault="00570AA6" w:rsidP="008C15F6">
            <w:pPr>
              <w:spacing w:after="40"/>
              <w:rPr>
                <w:rFonts w:cs="Arial"/>
                <w:sz w:val="18"/>
                <w:szCs w:val="18"/>
              </w:rPr>
            </w:pPr>
            <w:r>
              <w:rPr>
                <w:rFonts w:cs="Arial"/>
                <w:sz w:val="18"/>
                <w:szCs w:val="18"/>
              </w:rPr>
              <w:t>5</w:t>
            </w:r>
          </w:p>
        </w:tc>
        <w:tc>
          <w:tcPr>
            <w:tcW w:w="183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jc w:val="left"/>
              <w:rPr>
                <w:rFonts w:cs="Arial"/>
                <w:sz w:val="18"/>
                <w:szCs w:val="18"/>
              </w:rPr>
            </w:pPr>
            <w:r>
              <w:rPr>
                <w:rFonts w:cs="Arial"/>
                <w:sz w:val="18"/>
                <w:szCs w:val="18"/>
              </w:rPr>
              <w:t>Project partners would fail to implement activities in accordance with UNDP requirements.</w:t>
            </w:r>
          </w:p>
        </w:tc>
        <w:tc>
          <w:tcPr>
            <w:tcW w:w="99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046B53" w:rsidRDefault="00570AA6" w:rsidP="008C15F6">
            <w:pPr>
              <w:spacing w:after="40"/>
              <w:rPr>
                <w:rFonts w:cs="Arial"/>
                <w:sz w:val="18"/>
                <w:szCs w:val="18"/>
              </w:rPr>
            </w:pPr>
            <w:r w:rsidRPr="00046B53">
              <w:rPr>
                <w:rFonts w:cs="Arial"/>
                <w:sz w:val="18"/>
                <w:szCs w:val="18"/>
              </w:rPr>
              <w:t>Fiduciary</w:t>
            </w:r>
          </w:p>
        </w:tc>
        <w:tc>
          <w:tcPr>
            <w:tcW w:w="993" w:type="dxa"/>
            <w:tcBorders>
              <w:top w:val="single" w:sz="4" w:space="0" w:color="000000"/>
              <w:left w:val="single" w:sz="4" w:space="0" w:color="000000"/>
              <w:bottom w:val="single" w:sz="4" w:space="0" w:color="000000"/>
            </w:tcBorders>
            <w:shd w:val="clear" w:color="auto" w:fill="auto"/>
          </w:tcPr>
          <w:p w:rsidR="00570AA6" w:rsidRPr="00046B53" w:rsidRDefault="00570AA6" w:rsidP="008C15F6">
            <w:pPr>
              <w:spacing w:after="40"/>
              <w:rPr>
                <w:rFonts w:cs="Arial"/>
                <w:sz w:val="18"/>
                <w:szCs w:val="18"/>
              </w:rPr>
            </w:pPr>
            <w:r w:rsidRPr="00046B53">
              <w:rPr>
                <w:rFonts w:cs="Arial"/>
                <w:sz w:val="18"/>
                <w:szCs w:val="18"/>
              </w:rPr>
              <w:t>P = 2</w:t>
            </w:r>
          </w:p>
          <w:p w:rsidR="00570AA6" w:rsidRPr="00046B53" w:rsidRDefault="00570AA6" w:rsidP="008C15F6">
            <w:pPr>
              <w:spacing w:after="40"/>
              <w:rPr>
                <w:rFonts w:cs="Arial"/>
                <w:sz w:val="18"/>
                <w:szCs w:val="18"/>
              </w:rPr>
            </w:pPr>
            <w:r w:rsidRPr="00046B53">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Calibri"/>
                <w:sz w:val="18"/>
                <w:szCs w:val="18"/>
              </w:rPr>
            </w:pPr>
            <w:r>
              <w:rPr>
                <w:rFonts w:cs="Calibri"/>
                <w:sz w:val="18"/>
                <w:szCs w:val="18"/>
              </w:rPr>
              <w:t>The Project involves several key stakeholders including MARN, CNE, MOPTVDU and OPAMSS which adds to complexity. As a mitigation strategy, direct Project partners are limited to MARN and CNE who have a well-established track record with UNDP projects. Both entities bear responsibility for NIM implementation while other Government entities will be operationally involved. Strategic guidance from all partners is assured through CNE’s Executive Board members. Through these measures, this fiduciary risk is deemed modest.</w:t>
            </w:r>
          </w:p>
        </w:tc>
        <w:tc>
          <w:tcPr>
            <w:tcW w:w="1418"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FF00"/>
          </w:tcPr>
          <w:p w:rsidR="00570AA6" w:rsidRPr="004A2426" w:rsidRDefault="00570AA6" w:rsidP="008C15F6">
            <w:pPr>
              <w:spacing w:after="40"/>
              <w:rPr>
                <w:rFonts w:cs="Arial"/>
                <w:sz w:val="18"/>
                <w:szCs w:val="18"/>
              </w:rPr>
            </w:pPr>
            <w:r>
              <w:rPr>
                <w:rFonts w:cs="Arial"/>
                <w:sz w:val="18"/>
                <w:szCs w:val="18"/>
              </w:rPr>
              <w:t>6</w:t>
            </w:r>
          </w:p>
        </w:tc>
        <w:tc>
          <w:tcPr>
            <w:tcW w:w="183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jc w:val="left"/>
              <w:rPr>
                <w:rFonts w:cs="Arial"/>
                <w:sz w:val="18"/>
                <w:szCs w:val="18"/>
              </w:rPr>
            </w:pPr>
            <w:r>
              <w:rPr>
                <w:rFonts w:cs="Arial"/>
                <w:sz w:val="18"/>
                <w:szCs w:val="18"/>
              </w:rPr>
              <w:t>Stakeholders would fail to develop a growing portfolio of high-quality EE projects.</w:t>
            </w:r>
          </w:p>
        </w:tc>
        <w:tc>
          <w:tcPr>
            <w:tcW w:w="99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046B53" w:rsidRDefault="00570AA6" w:rsidP="008C15F6">
            <w:pPr>
              <w:spacing w:after="40"/>
              <w:rPr>
                <w:rFonts w:cs="Arial"/>
                <w:sz w:val="18"/>
                <w:szCs w:val="18"/>
              </w:rPr>
            </w:pPr>
            <w:r w:rsidRPr="00046B53">
              <w:rPr>
                <w:rFonts w:cs="Arial"/>
                <w:sz w:val="18"/>
                <w:szCs w:val="18"/>
              </w:rPr>
              <w:t>Development</w:t>
            </w:r>
          </w:p>
        </w:tc>
        <w:tc>
          <w:tcPr>
            <w:tcW w:w="993" w:type="dxa"/>
            <w:tcBorders>
              <w:top w:val="single" w:sz="4" w:space="0" w:color="000000"/>
              <w:left w:val="single" w:sz="4" w:space="0" w:color="000000"/>
              <w:bottom w:val="single" w:sz="4" w:space="0" w:color="000000"/>
            </w:tcBorders>
            <w:shd w:val="clear" w:color="auto" w:fill="auto"/>
          </w:tcPr>
          <w:p w:rsidR="00570AA6" w:rsidRPr="00046B53" w:rsidRDefault="00570AA6" w:rsidP="008C15F6">
            <w:pPr>
              <w:spacing w:after="40"/>
              <w:rPr>
                <w:rFonts w:cs="Arial"/>
                <w:sz w:val="18"/>
                <w:szCs w:val="18"/>
              </w:rPr>
            </w:pPr>
            <w:r w:rsidRPr="00046B53">
              <w:rPr>
                <w:rFonts w:cs="Arial"/>
                <w:sz w:val="18"/>
                <w:szCs w:val="18"/>
              </w:rPr>
              <w:t>P = 2;</w:t>
            </w:r>
          </w:p>
          <w:p w:rsidR="00570AA6" w:rsidRPr="00046B53" w:rsidRDefault="00570AA6" w:rsidP="008C15F6">
            <w:pPr>
              <w:spacing w:after="40"/>
              <w:rPr>
                <w:rFonts w:cs="Arial"/>
                <w:sz w:val="18"/>
                <w:szCs w:val="18"/>
              </w:rPr>
            </w:pPr>
            <w:r w:rsidRPr="00046B53">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Calibri"/>
                <w:sz w:val="18"/>
                <w:szCs w:val="18"/>
              </w:rPr>
            </w:pPr>
            <w:r>
              <w:rPr>
                <w:rFonts w:cs="Calibri"/>
                <w:sz w:val="18"/>
                <w:szCs w:val="18"/>
              </w:rPr>
              <w:t>Upscaling of project benefits depends on public sector capacity to attract investment capital and prepare high-quality project proposals. While advance has been made since the GEF-4 EEPB project, capacities among public officers to implement energy management systems and identify investment opportunities are still limited. The Project will therefore facilitate a task force assisting municipalities to accelerate EE project development. Simultaneously, the Project will build alliances with educational entities to anchor EE training and certification of professionals in the country.</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FF00"/>
          </w:tcPr>
          <w:p w:rsidR="00570AA6" w:rsidRDefault="00570AA6" w:rsidP="008C15F6">
            <w:pPr>
              <w:spacing w:after="40"/>
              <w:rPr>
                <w:rFonts w:cs="Arial"/>
                <w:sz w:val="18"/>
                <w:szCs w:val="18"/>
              </w:rPr>
            </w:pPr>
            <w:r>
              <w:rPr>
                <w:rFonts w:cs="Arial"/>
                <w:sz w:val="18"/>
                <w:szCs w:val="18"/>
              </w:rPr>
              <w:t>7</w:t>
            </w:r>
          </w:p>
        </w:tc>
        <w:tc>
          <w:tcPr>
            <w:tcW w:w="183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jc w:val="left"/>
              <w:rPr>
                <w:rFonts w:cs="Arial"/>
                <w:sz w:val="18"/>
                <w:szCs w:val="18"/>
              </w:rPr>
            </w:pPr>
            <w:r>
              <w:rPr>
                <w:rFonts w:cs="Arial"/>
                <w:sz w:val="18"/>
                <w:szCs w:val="18"/>
              </w:rPr>
              <w:t>The Project would fail to institutionalize capacity building due to a lack of political support.</w:t>
            </w:r>
          </w:p>
        </w:tc>
        <w:tc>
          <w:tcPr>
            <w:tcW w:w="99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Development</w:t>
            </w:r>
          </w:p>
        </w:tc>
        <w:tc>
          <w:tcPr>
            <w:tcW w:w="993" w:type="dxa"/>
            <w:tcBorders>
              <w:top w:val="single" w:sz="4" w:space="0" w:color="000000"/>
              <w:left w:val="single" w:sz="4" w:space="0" w:color="000000"/>
              <w:bottom w:val="single" w:sz="4" w:space="0" w:color="000000"/>
            </w:tcBorders>
            <w:shd w:val="clear" w:color="auto" w:fill="auto"/>
          </w:tcPr>
          <w:p w:rsidR="00570AA6" w:rsidRPr="0030197C" w:rsidRDefault="00570AA6" w:rsidP="008C15F6">
            <w:pPr>
              <w:spacing w:after="40"/>
              <w:rPr>
                <w:rFonts w:cs="Arial"/>
                <w:sz w:val="18"/>
                <w:szCs w:val="18"/>
              </w:rPr>
            </w:pPr>
            <w:r w:rsidRPr="0030197C">
              <w:rPr>
                <w:rFonts w:cs="Arial"/>
                <w:sz w:val="18"/>
                <w:szCs w:val="18"/>
              </w:rPr>
              <w:t>P = 2;</w:t>
            </w:r>
          </w:p>
          <w:p w:rsidR="00570AA6" w:rsidRDefault="00570AA6" w:rsidP="008C15F6">
            <w:pPr>
              <w:spacing w:after="40"/>
              <w:rPr>
                <w:rFonts w:cs="Arial"/>
                <w:sz w:val="18"/>
                <w:szCs w:val="18"/>
              </w:rPr>
            </w:pPr>
            <w:r w:rsidRPr="0030197C">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Calibri"/>
                <w:sz w:val="18"/>
                <w:szCs w:val="18"/>
              </w:rPr>
            </w:pPr>
            <w:r>
              <w:rPr>
                <w:rFonts w:cs="Calibri"/>
                <w:sz w:val="18"/>
                <w:szCs w:val="18"/>
              </w:rPr>
              <w:t xml:space="preserve">El Salvador is in a process of shaping its institutional landscape -both horizontally and vertically- and competences for urban mobility are scattered; moreover, available capacities are poorly coordinated. In order to mitigate this risk and avoid managing fragmented stakeholders, the Project will pursue the creation of a “center of excellence” on mobility supported by strategic partnerships with internal, reputed organizations and experts. It is envisaged to host the center within an academic entity (on or off-campus) with political support from the Government (CNE, MINEC). Once established, the center should have a concentrator effect for know-how building and innovation. This approach has been followed successfully in many countries but is a novelty for El Salvador. There is a substantial risk that political support will not develop as hoped, which would undermine the Project’s exit strategy. As a mitigation measure, the Project will foster partnerships as a less ambitious objective. </w:t>
            </w:r>
          </w:p>
          <w:p w:rsidR="00570AA6" w:rsidRPr="004A2426" w:rsidRDefault="00570AA6" w:rsidP="008C15F6">
            <w:pPr>
              <w:spacing w:after="40"/>
              <w:rPr>
                <w:rFonts w:cs="Calibri"/>
                <w:sz w:val="18"/>
                <w:szCs w:val="18"/>
              </w:rPr>
            </w:pPr>
            <w:r>
              <w:rPr>
                <w:rFonts w:cs="Calibri"/>
                <w:sz w:val="18"/>
                <w:szCs w:val="18"/>
              </w:rPr>
              <w:t>Progress shall be monitored annually by the Technical Advisor, who should inform the CNE Board to take action to ensure that momentum and technical capacity are actually building up.</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No change</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00B050"/>
          </w:tcPr>
          <w:p w:rsidR="00570AA6" w:rsidRPr="004A2426" w:rsidRDefault="00570AA6" w:rsidP="008C15F6">
            <w:pPr>
              <w:spacing w:after="40"/>
              <w:rPr>
                <w:bCs/>
                <w:sz w:val="18"/>
                <w:szCs w:val="18"/>
              </w:rPr>
            </w:pPr>
            <w:r>
              <w:rPr>
                <w:bCs/>
                <w:sz w:val="18"/>
                <w:szCs w:val="18"/>
              </w:rPr>
              <w:t>8</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sidRPr="004A2426">
              <w:rPr>
                <w:rFonts w:cs="Arial"/>
                <w:sz w:val="18"/>
                <w:szCs w:val="18"/>
              </w:rPr>
              <w:t xml:space="preserve">Sustainability of installed </w:t>
            </w:r>
            <w:r>
              <w:rPr>
                <w:rFonts w:cs="Arial"/>
                <w:sz w:val="18"/>
                <w:szCs w:val="18"/>
              </w:rPr>
              <w:t xml:space="preserve">mobility solutions </w:t>
            </w:r>
            <w:r w:rsidRPr="004A2426">
              <w:rPr>
                <w:rFonts w:cs="Arial"/>
                <w:sz w:val="18"/>
                <w:szCs w:val="18"/>
              </w:rPr>
              <w:t xml:space="preserve">and </w:t>
            </w:r>
            <w:r>
              <w:rPr>
                <w:rFonts w:cs="Arial"/>
                <w:sz w:val="18"/>
                <w:szCs w:val="18"/>
              </w:rPr>
              <w:t xml:space="preserve">EE systems </w:t>
            </w:r>
            <w:r w:rsidRPr="004A2426">
              <w:rPr>
                <w:rFonts w:cs="Arial"/>
                <w:sz w:val="18"/>
                <w:szCs w:val="18"/>
              </w:rPr>
              <w:t>would be affected by the impact of climate change.</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PIF</w:t>
            </w:r>
          </w:p>
        </w:tc>
        <w:tc>
          <w:tcPr>
            <w:tcW w:w="1275"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Sustainability</w:t>
            </w:r>
          </w:p>
        </w:tc>
        <w:tc>
          <w:tcPr>
            <w:tcW w:w="993" w:type="dxa"/>
            <w:tcBorders>
              <w:top w:val="single" w:sz="4" w:space="0" w:color="000000"/>
              <w:left w:val="single" w:sz="4" w:space="0" w:color="000000"/>
              <w:bottom w:val="single" w:sz="4" w:space="0" w:color="000000"/>
            </w:tcBorders>
            <w:shd w:val="clear" w:color="auto" w:fill="auto"/>
          </w:tcPr>
          <w:p w:rsidR="00570AA6" w:rsidRPr="0030197C" w:rsidRDefault="00570AA6" w:rsidP="008C15F6">
            <w:pPr>
              <w:spacing w:after="40"/>
              <w:rPr>
                <w:rFonts w:cs="Arial"/>
                <w:sz w:val="18"/>
                <w:szCs w:val="18"/>
              </w:rPr>
            </w:pPr>
            <w:r w:rsidRPr="0030197C">
              <w:rPr>
                <w:rFonts w:cs="Arial"/>
                <w:sz w:val="18"/>
                <w:szCs w:val="18"/>
              </w:rPr>
              <w:t>P = 1</w:t>
            </w:r>
          </w:p>
          <w:p w:rsidR="00570AA6" w:rsidRPr="004A2426" w:rsidRDefault="00570AA6" w:rsidP="008C15F6">
            <w:pPr>
              <w:spacing w:after="40"/>
              <w:rPr>
                <w:rFonts w:cs="Arial"/>
                <w:sz w:val="18"/>
                <w:szCs w:val="18"/>
              </w:rPr>
            </w:pPr>
            <w:r w:rsidRPr="0030197C">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Calibri"/>
                <w:sz w:val="18"/>
                <w:szCs w:val="18"/>
              </w:rPr>
            </w:pPr>
            <w:r>
              <w:rPr>
                <w:rFonts w:cs="Calibri"/>
                <w:sz w:val="18"/>
                <w:szCs w:val="18"/>
              </w:rPr>
              <w:t xml:space="preserve">There are no indications that climate change impacts would affect the viability of installed systems. Minor effects may occur due to changes in ambient parameters causing EE investments to perform slightly better or less compared to the baseline analysis. </w:t>
            </w:r>
          </w:p>
          <w:p w:rsidR="00570AA6" w:rsidRPr="004A2426" w:rsidRDefault="00570AA6" w:rsidP="008C15F6">
            <w:pPr>
              <w:spacing w:after="40"/>
              <w:rPr>
                <w:rFonts w:cs="Calibri"/>
                <w:sz w:val="18"/>
                <w:szCs w:val="18"/>
              </w:rPr>
            </w:pPr>
            <w:r>
              <w:rPr>
                <w:rFonts w:cs="Calibri"/>
                <w:sz w:val="18"/>
                <w:szCs w:val="18"/>
              </w:rPr>
              <w:t>Transport infrastructure may be affected by extreme weather events causing flooding. In line with the El Salvador’s NDC, infrastructure in El Salvador should be made climate-resilient. If this principle is applied to the systems pursued under this Project, operational sustainability should be guaranteed under varying climate conditions.</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lang w:val="es-MX"/>
              </w:rPr>
            </w:pPr>
            <w:r w:rsidRPr="004A2426">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bl>
    <w:p w:rsidR="002E7637" w:rsidRPr="00A03043" w:rsidRDefault="00602FE2" w:rsidP="00A03043"/>
    <w:sectPr w:rsidR="002E7637" w:rsidRPr="00A03043" w:rsidSect="0092618A">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2FE2" w:rsidRDefault="00602FE2" w:rsidP="00E540C6">
      <w:pPr>
        <w:spacing w:after="0"/>
      </w:pPr>
      <w:r>
        <w:separator/>
      </w:r>
    </w:p>
  </w:endnote>
  <w:endnote w:type="continuationSeparator" w:id="0">
    <w:p w:rsidR="00602FE2" w:rsidRDefault="00602FE2" w:rsidP="00E540C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2FE2" w:rsidRDefault="00602FE2" w:rsidP="00E540C6">
      <w:pPr>
        <w:spacing w:after="0"/>
      </w:pPr>
      <w:r>
        <w:separator/>
      </w:r>
    </w:p>
  </w:footnote>
  <w:footnote w:type="continuationSeparator" w:id="0">
    <w:p w:rsidR="00602FE2" w:rsidRDefault="00602FE2" w:rsidP="00E540C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3E4171"/>
    <w:multiLevelType w:val="hybridMultilevel"/>
    <w:tmpl w:val="014AE232"/>
    <w:lvl w:ilvl="0" w:tplc="27FA291E">
      <w:start w:val="1"/>
      <w:numFmt w:val="decimal"/>
      <w:pStyle w:val="ListParagraph"/>
      <w:lvlText w:val="%1."/>
      <w:lvlJc w:val="left"/>
      <w:pPr>
        <w:ind w:left="360" w:hanging="360"/>
      </w:pPr>
      <w:rPr>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0B9"/>
    <w:rsid w:val="00066EFD"/>
    <w:rsid w:val="001B599F"/>
    <w:rsid w:val="001B6EA9"/>
    <w:rsid w:val="001F765B"/>
    <w:rsid w:val="003573A9"/>
    <w:rsid w:val="00570AA6"/>
    <w:rsid w:val="005D3E0A"/>
    <w:rsid w:val="00602FE2"/>
    <w:rsid w:val="00677902"/>
    <w:rsid w:val="0077679B"/>
    <w:rsid w:val="007A4A8B"/>
    <w:rsid w:val="008C2F56"/>
    <w:rsid w:val="0092618A"/>
    <w:rsid w:val="009A5AB9"/>
    <w:rsid w:val="00A03043"/>
    <w:rsid w:val="00AB505A"/>
    <w:rsid w:val="00B80251"/>
    <w:rsid w:val="00CE10B9"/>
    <w:rsid w:val="00DE7AE7"/>
    <w:rsid w:val="00E40E0C"/>
    <w:rsid w:val="00E540C6"/>
    <w:rsid w:val="00E95EC3"/>
    <w:rsid w:val="00EA5E2F"/>
    <w:rsid w:val="00F039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28353AE-58D3-4A71-93F2-04E2C27A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7AE7"/>
    <w:pPr>
      <w:spacing w:after="60" w:line="240" w:lineRule="auto"/>
      <w:jc w:val="both"/>
    </w:pPr>
    <w:rPr>
      <w:rFonts w:ascii="Calibri" w:eastAsia="SimSun" w:hAnsi="Calibri" w:cs="Times New Roman"/>
      <w:sz w:val="20"/>
      <w:szCs w:val="24"/>
      <w:lang w:val="en-US"/>
    </w:rPr>
  </w:style>
  <w:style w:type="paragraph" w:styleId="Heading2">
    <w:name w:val="heading 2"/>
    <w:basedOn w:val="Normal"/>
    <w:next w:val="Normal"/>
    <w:link w:val="Heading2Char1"/>
    <w:qFormat/>
    <w:rsid w:val="00DE7AE7"/>
    <w:pPr>
      <w:keepNext/>
      <w:ind w:left="720"/>
      <w:outlineLvl w:val="1"/>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DE7AE7"/>
    <w:rPr>
      <w:rFonts w:asciiTheme="majorHAnsi" w:eastAsiaTheme="majorEastAsia" w:hAnsiTheme="majorHAnsi" w:cstheme="majorBidi"/>
      <w:color w:val="2E74B5" w:themeColor="accent1" w:themeShade="BF"/>
      <w:sz w:val="26"/>
      <w:szCs w:val="26"/>
      <w:lang w:val="en-US"/>
    </w:rPr>
  </w:style>
  <w:style w:type="character" w:customStyle="1" w:styleId="Heading2Char1">
    <w:name w:val="Heading 2 Char1"/>
    <w:link w:val="Heading2"/>
    <w:locked/>
    <w:rsid w:val="00DE7AE7"/>
    <w:rPr>
      <w:rFonts w:ascii="Arial Narrow" w:eastAsia="SimSun" w:hAnsi="Arial Narrow" w:cs="Times New Roman"/>
      <w:b/>
      <w:bCs/>
      <w:szCs w:val="24"/>
      <w:lang w:val="en-US"/>
    </w:rPr>
  </w:style>
  <w:style w:type="paragraph" w:styleId="Header">
    <w:name w:val="header"/>
    <w:basedOn w:val="Normal"/>
    <w:link w:val="HeaderChar"/>
    <w:uiPriority w:val="99"/>
    <w:unhideWhenUsed/>
    <w:rsid w:val="00E540C6"/>
    <w:pPr>
      <w:tabs>
        <w:tab w:val="center" w:pos="4513"/>
        <w:tab w:val="right" w:pos="9026"/>
      </w:tabs>
      <w:spacing w:after="0"/>
    </w:pPr>
  </w:style>
  <w:style w:type="character" w:customStyle="1" w:styleId="HeaderChar">
    <w:name w:val="Header Char"/>
    <w:basedOn w:val="DefaultParagraphFont"/>
    <w:link w:val="Header"/>
    <w:uiPriority w:val="99"/>
    <w:rsid w:val="00E540C6"/>
    <w:rPr>
      <w:rFonts w:ascii="Calibri" w:eastAsia="SimSun" w:hAnsi="Calibri" w:cs="Times New Roman"/>
      <w:sz w:val="20"/>
      <w:szCs w:val="24"/>
      <w:lang w:val="en-US"/>
    </w:rPr>
  </w:style>
  <w:style w:type="paragraph" w:styleId="Footer">
    <w:name w:val="footer"/>
    <w:basedOn w:val="Normal"/>
    <w:link w:val="FooterChar"/>
    <w:uiPriority w:val="99"/>
    <w:unhideWhenUsed/>
    <w:rsid w:val="00E540C6"/>
    <w:pPr>
      <w:tabs>
        <w:tab w:val="center" w:pos="4513"/>
        <w:tab w:val="right" w:pos="9026"/>
      </w:tabs>
      <w:spacing w:after="0"/>
    </w:pPr>
  </w:style>
  <w:style w:type="character" w:customStyle="1" w:styleId="FooterChar">
    <w:name w:val="Footer Char"/>
    <w:basedOn w:val="DefaultParagraphFont"/>
    <w:link w:val="Footer"/>
    <w:uiPriority w:val="99"/>
    <w:rsid w:val="00E540C6"/>
    <w:rPr>
      <w:rFonts w:ascii="Calibri" w:eastAsia="SimSun" w:hAnsi="Calibri" w:cs="Times New Roman"/>
      <w:sz w:val="20"/>
      <w:szCs w:val="24"/>
      <w:lang w:val="en-US"/>
    </w:rPr>
  </w:style>
  <w:style w:type="paragraph" w:styleId="ListParagraph">
    <w:name w:val="List Paragraph"/>
    <w:basedOn w:val="Normal"/>
    <w:link w:val="ListParagraphChar"/>
    <w:uiPriority w:val="34"/>
    <w:qFormat/>
    <w:rsid w:val="0092618A"/>
    <w:pPr>
      <w:numPr>
        <w:numId w:val="2"/>
      </w:numPr>
      <w:tabs>
        <w:tab w:val="left" w:pos="476"/>
      </w:tabs>
      <w:ind w:left="0" w:firstLine="0"/>
    </w:pPr>
  </w:style>
  <w:style w:type="character" w:customStyle="1" w:styleId="ListParagraphChar">
    <w:name w:val="List Paragraph Char"/>
    <w:link w:val="ListParagraph"/>
    <w:uiPriority w:val="34"/>
    <w:qFormat/>
    <w:rsid w:val="0092618A"/>
    <w:rPr>
      <w:rFonts w:ascii="Calibri" w:eastAsia="SimSun" w:hAnsi="Calibri" w:cs="Times New Roman"/>
      <w:sz w:val="20"/>
      <w:szCs w:val="24"/>
      <w:lang w:val="en-US"/>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A03043"/>
    <w:pPr>
      <w:widowControl w:val="0"/>
    </w:pPr>
    <w:rPr>
      <w:rFonts w:ascii="Calibri Light" w:hAnsi="Calibri Light"/>
      <w:sz w:val="18"/>
      <w:szCs w:val="20"/>
    </w:rPr>
  </w:style>
  <w:style w:type="character" w:customStyle="1" w:styleId="FootnoteTextChar">
    <w:name w:val="Footnote Text Char"/>
    <w:basedOn w:val="DefaultParagraphFont"/>
    <w:uiPriority w:val="99"/>
    <w:semiHidden/>
    <w:rsid w:val="00A03043"/>
    <w:rPr>
      <w:rFonts w:ascii="Calibri" w:eastAsia="SimSun" w:hAnsi="Calibri" w:cs="Times New Roman"/>
      <w:sz w:val="20"/>
      <w:szCs w:val="20"/>
      <w:lang w:val="en-US"/>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locked/>
    <w:rsid w:val="00A03043"/>
    <w:rPr>
      <w:rFonts w:ascii="Calibri Light" w:eastAsia="SimSun" w:hAnsi="Calibri Light" w:cs="Times New Roman"/>
      <w:sz w:val="18"/>
      <w:szCs w:val="20"/>
      <w:lang w:val="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Ref,numbe"/>
    <w:link w:val="CharCharCharCharCarChar"/>
    <w:uiPriority w:val="99"/>
    <w:rsid w:val="00A03043"/>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A03043"/>
    <w:pPr>
      <w:spacing w:after="160" w:line="240" w:lineRule="exact"/>
    </w:pPr>
    <w:rPr>
      <w:rFonts w:ascii="Arial" w:eastAsiaTheme="minorHAnsi" w:hAnsi="Arial"/>
      <w:sz w:val="18"/>
      <w:szCs w:val="22"/>
      <w:vertAlign w:val="superscript"/>
      <w:lang w:val="en-GB"/>
    </w:rPr>
  </w:style>
  <w:style w:type="paragraph" w:styleId="BalloonText">
    <w:name w:val="Balloon Text"/>
    <w:basedOn w:val="Normal"/>
    <w:link w:val="BalloonTextChar"/>
    <w:uiPriority w:val="99"/>
    <w:semiHidden/>
    <w:unhideWhenUsed/>
    <w:rsid w:val="00F039E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39EC"/>
    <w:rPr>
      <w:rFonts w:ascii="Segoe UI" w:eastAsia="SimSu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El Salvador</GEFCountry>
    <Classification xmlns="ceb00776-aa5c-4fc8-b6fe-5f035152e4b6">Public</Classification>
    <Country1 xmlns="ceb00776-aa5c-4fc8-b6fe-5f035152e4b6" xsi:nil="true"/>
    <DocPrefix xmlns="ceb00776-aa5c-4fc8-b6fe-5f035152e4b6">Others</DocPrefix>
    <GEFID xmlns="ceb00776-aa5c-4fc8-b6fe-5f035152e4b6">9038</GEFID>
    <ProjectType xmlns="ceb00776-aa5c-4fc8-b6fe-5f035152e4b6">FSP</ProjectType>
    <GEFProjectID xmlns="ceb00776-aa5c-4fc8-b6fe-5f035152e4b6">c8e2fa45-df7c-e811-8124-3863bb2e1360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San Salvador Low-emission Urban Development Path </ProjectTitle>
    <TrustFundType xmlns="ceb00776-aa5c-4fc8-b6fe-5f035152e4b6">GET</TrustFundType>
    <TaxCatchAll xmlns="3e02667f-0271-471b-bd6e-11a2e16def1d"/>
    <DocumentTitle xmlns="ceb00776-aa5c-4fc8-b6fe-5f035152e4b6">ANNEX H</DocumentTitle>
  </documentManagement>
</p:properties>
</file>

<file path=customXml/itemProps1.xml><?xml version="1.0" encoding="utf-8"?>
<ds:datastoreItem xmlns:ds="http://schemas.openxmlformats.org/officeDocument/2006/customXml" ds:itemID="{00512AEC-74E3-415F-BB9C-8C65DE023909}">
  <ds:schemaRefs>
    <ds:schemaRef ds:uri="http://schemas.openxmlformats.org/officeDocument/2006/bibliography"/>
  </ds:schemaRefs>
</ds:datastoreItem>
</file>

<file path=customXml/itemProps2.xml><?xml version="1.0" encoding="utf-8"?>
<ds:datastoreItem xmlns:ds="http://schemas.openxmlformats.org/officeDocument/2006/customXml" ds:itemID="{F23528E1-3CC2-4DFA-ACB5-FA8510E77633}"/>
</file>

<file path=customXml/itemProps3.xml><?xml version="1.0" encoding="utf-8"?>
<ds:datastoreItem xmlns:ds="http://schemas.openxmlformats.org/officeDocument/2006/customXml" ds:itemID="{5AFA6E8C-688E-44CE-8641-AA3A95BB6BFF}"/>
</file>

<file path=customXml/itemProps4.xml><?xml version="1.0" encoding="utf-8"?>
<ds:datastoreItem xmlns:ds="http://schemas.openxmlformats.org/officeDocument/2006/customXml" ds:itemID="{26C93A37-41E7-4611-9531-A1CAD1E655ED}"/>
</file>

<file path=docProps/app.xml><?xml version="1.0" encoding="utf-8"?>
<Properties xmlns="http://schemas.openxmlformats.org/officeDocument/2006/extended-properties" xmlns:vt="http://schemas.openxmlformats.org/officeDocument/2006/docPropsVTypes">
  <Template>Normal.dotm</Template>
  <TotalTime>0</TotalTime>
  <Pages>4</Pages>
  <Words>993</Words>
  <Characters>5663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EOLOGICA</Company>
  <LinksUpToDate>false</LinksUpToDate>
  <CharactersWithSpaces>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Remi Rijs</dc:creator>
  <cp:keywords/>
  <dc:description/>
  <cp:lastModifiedBy>Melissa Hernandez</cp:lastModifiedBy>
  <cp:revision>2</cp:revision>
  <dcterms:created xsi:type="dcterms:W3CDTF">2018-11-20T16:59:00Z</dcterms:created>
  <dcterms:modified xsi:type="dcterms:W3CDTF">2018-11-20T16:59:00Z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